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C" w:rsidRPr="00154AE5" w:rsidRDefault="00DE4255">
      <w:pPr>
        <w:pStyle w:val="normal"/>
        <w:pBdr>
          <w:top w:val="nil"/>
          <w:left w:val="nil"/>
          <w:bottom w:val="nil"/>
          <w:right w:val="nil"/>
          <w:between w:val="nil"/>
        </w:pBdr>
        <w:shd w:val="clear" w:color="auto" w:fill="FFFFFF"/>
        <w:ind w:left="-142"/>
        <w:rPr>
          <w:rFonts w:ascii="inherit" w:eastAsia="inherit" w:hAnsi="inherit" w:cs="inherit"/>
          <w:b/>
          <w:color w:val="000000" w:themeColor="text1"/>
          <w:sz w:val="20"/>
          <w:szCs w:val="20"/>
        </w:rPr>
      </w:pPr>
      <w:r w:rsidRPr="00154AE5">
        <w:rPr>
          <w:rFonts w:ascii="inherit" w:eastAsia="inherit" w:hAnsi="inherit" w:cs="inherit"/>
          <w:b/>
          <w:color w:val="000000" w:themeColor="text1"/>
          <w:sz w:val="20"/>
          <w:szCs w:val="20"/>
        </w:rPr>
        <w:t xml:space="preserve">ΕΛΛΗΝΙΚΗ ΔΗΜΟΚΡΑΤΙΑ </w:t>
      </w:r>
    </w:p>
    <w:p w:rsidR="00062EEC" w:rsidRPr="00154AE5" w:rsidRDefault="00DE4255">
      <w:pPr>
        <w:pStyle w:val="normal"/>
        <w:pBdr>
          <w:top w:val="nil"/>
          <w:left w:val="nil"/>
          <w:bottom w:val="nil"/>
          <w:right w:val="nil"/>
          <w:between w:val="nil"/>
        </w:pBdr>
        <w:shd w:val="clear" w:color="auto" w:fill="FFFFFF"/>
        <w:ind w:left="-142"/>
        <w:rPr>
          <w:rFonts w:ascii="inherit" w:eastAsia="inherit" w:hAnsi="inherit" w:cs="inherit"/>
          <w:b/>
          <w:color w:val="000000" w:themeColor="text1"/>
          <w:sz w:val="20"/>
          <w:szCs w:val="20"/>
        </w:rPr>
      </w:pPr>
      <w:r w:rsidRPr="00154AE5">
        <w:rPr>
          <w:rFonts w:ascii="inherit" w:eastAsia="inherit" w:hAnsi="inherit" w:cs="inherit"/>
          <w:b/>
          <w:color w:val="000000" w:themeColor="text1"/>
          <w:sz w:val="20"/>
          <w:szCs w:val="20"/>
        </w:rPr>
        <w:t xml:space="preserve">ΠΕΡΙΦΕΡΕΙΑ ΘΕΣΣΑΛΙΑΣ </w:t>
      </w:r>
    </w:p>
    <w:p w:rsidR="00062EEC" w:rsidRPr="00154AE5" w:rsidRDefault="00DE4255">
      <w:pPr>
        <w:pStyle w:val="normal"/>
        <w:pBdr>
          <w:top w:val="nil"/>
          <w:left w:val="nil"/>
          <w:bottom w:val="nil"/>
          <w:right w:val="nil"/>
          <w:between w:val="nil"/>
        </w:pBdr>
        <w:shd w:val="clear" w:color="auto" w:fill="FFFFFF"/>
        <w:ind w:left="-142"/>
        <w:rPr>
          <w:rFonts w:ascii="inherit" w:eastAsia="inherit" w:hAnsi="inherit" w:cs="inherit"/>
          <w:b/>
          <w:color w:val="000000" w:themeColor="text1"/>
          <w:sz w:val="20"/>
          <w:szCs w:val="20"/>
        </w:rPr>
      </w:pPr>
      <w:r w:rsidRPr="00154AE5">
        <w:rPr>
          <w:rFonts w:ascii="inherit" w:eastAsia="inherit" w:hAnsi="inherit" w:cs="inherit"/>
          <w:b/>
          <w:color w:val="000000" w:themeColor="text1"/>
          <w:sz w:val="20"/>
          <w:szCs w:val="20"/>
        </w:rPr>
        <w:t xml:space="preserve">ΝΟΜΟΣ ΜΑΓΝΗΣΙΑΣ </w:t>
      </w:r>
    </w:p>
    <w:p w:rsidR="00062EEC" w:rsidRDefault="00DE4255">
      <w:pPr>
        <w:pStyle w:val="normal"/>
        <w:pBdr>
          <w:top w:val="nil"/>
          <w:left w:val="nil"/>
          <w:bottom w:val="nil"/>
          <w:right w:val="nil"/>
          <w:between w:val="nil"/>
        </w:pBdr>
        <w:shd w:val="clear" w:color="auto" w:fill="FFFFFF"/>
        <w:ind w:left="-142"/>
        <w:rPr>
          <w:rFonts w:ascii="inherit" w:eastAsia="inherit" w:hAnsi="inherit" w:cs="inherit"/>
          <w:b/>
          <w:color w:val="000000" w:themeColor="text1"/>
          <w:sz w:val="20"/>
          <w:szCs w:val="20"/>
        </w:rPr>
      </w:pPr>
      <w:r w:rsidRPr="00154AE5">
        <w:rPr>
          <w:rFonts w:ascii="inherit" w:eastAsia="inherit" w:hAnsi="inherit" w:cs="inherit"/>
          <w:b/>
          <w:color w:val="000000" w:themeColor="text1"/>
          <w:sz w:val="20"/>
          <w:szCs w:val="20"/>
        </w:rPr>
        <w:t xml:space="preserve">ΔΗΜΟΣ ΖΑΓΟΡΑΣ </w:t>
      </w:r>
      <w:r w:rsidR="00154AE5">
        <w:rPr>
          <w:rFonts w:ascii="inherit" w:eastAsia="inherit" w:hAnsi="inherit" w:cs="inherit"/>
          <w:b/>
          <w:color w:val="000000" w:themeColor="text1"/>
          <w:sz w:val="20"/>
          <w:szCs w:val="20"/>
        </w:rPr>
        <w:t>–</w:t>
      </w:r>
      <w:r w:rsidRPr="00154AE5">
        <w:rPr>
          <w:rFonts w:ascii="inherit" w:eastAsia="inherit" w:hAnsi="inherit" w:cs="inherit"/>
          <w:b/>
          <w:color w:val="000000" w:themeColor="text1"/>
          <w:sz w:val="20"/>
          <w:szCs w:val="20"/>
        </w:rPr>
        <w:t xml:space="preserve"> ΜΟΥΡΕΣΙΟΥ</w:t>
      </w:r>
    </w:p>
    <w:p w:rsidR="00154AE5" w:rsidRDefault="00154AE5">
      <w:pPr>
        <w:pStyle w:val="normal"/>
        <w:pBdr>
          <w:top w:val="nil"/>
          <w:left w:val="nil"/>
          <w:bottom w:val="nil"/>
          <w:right w:val="nil"/>
          <w:between w:val="nil"/>
        </w:pBdr>
        <w:shd w:val="clear" w:color="auto" w:fill="FFFFFF"/>
        <w:ind w:left="-142"/>
        <w:rPr>
          <w:rFonts w:ascii="inherit" w:eastAsia="inherit" w:hAnsi="inherit" w:cs="inherit"/>
          <w:b/>
          <w:color w:val="000000" w:themeColor="text1"/>
          <w:sz w:val="20"/>
          <w:szCs w:val="20"/>
        </w:rPr>
      </w:pPr>
    </w:p>
    <w:p w:rsidR="00154AE5" w:rsidRPr="00154AE5" w:rsidRDefault="00154AE5">
      <w:pPr>
        <w:pStyle w:val="normal"/>
        <w:pBdr>
          <w:top w:val="nil"/>
          <w:left w:val="nil"/>
          <w:bottom w:val="nil"/>
          <w:right w:val="nil"/>
          <w:between w:val="nil"/>
        </w:pBdr>
        <w:shd w:val="clear" w:color="auto" w:fill="FFFFFF"/>
        <w:ind w:left="-142"/>
        <w:rPr>
          <w:rFonts w:ascii="inherit" w:eastAsia="inherit" w:hAnsi="inherit" w:cs="inherit"/>
          <w:b/>
          <w:color w:val="000000" w:themeColor="text1"/>
          <w:sz w:val="20"/>
          <w:szCs w:val="20"/>
        </w:rPr>
      </w:pPr>
    </w:p>
    <w:p w:rsidR="00062EEC" w:rsidRDefault="00DE4255">
      <w:pPr>
        <w:pStyle w:val="normal"/>
        <w:pBdr>
          <w:top w:val="nil"/>
          <w:left w:val="nil"/>
          <w:bottom w:val="nil"/>
          <w:right w:val="nil"/>
          <w:between w:val="nil"/>
        </w:pBdr>
        <w:shd w:val="clear" w:color="auto" w:fill="FFFFFF"/>
        <w:jc w:val="center"/>
        <w:rPr>
          <w:rFonts w:ascii="inherit" w:eastAsia="inherit" w:hAnsi="inherit" w:cs="inherit"/>
          <w:b/>
          <w:color w:val="000000" w:themeColor="text1"/>
          <w:sz w:val="32"/>
          <w:szCs w:val="32"/>
          <w:u w:val="single"/>
        </w:rPr>
      </w:pPr>
      <w:r w:rsidRPr="00154AE5">
        <w:rPr>
          <w:rFonts w:ascii="inherit" w:eastAsia="inherit" w:hAnsi="inherit" w:cs="inherit"/>
          <w:b/>
          <w:color w:val="000000" w:themeColor="text1"/>
          <w:sz w:val="32"/>
          <w:szCs w:val="32"/>
          <w:u w:val="single"/>
        </w:rPr>
        <w:t xml:space="preserve">ΑΝΑΚΟΙΝΩΣΗ </w:t>
      </w:r>
    </w:p>
    <w:p w:rsidR="00154AE5" w:rsidRPr="00154AE5" w:rsidRDefault="00154AE5">
      <w:pPr>
        <w:pStyle w:val="normal"/>
        <w:pBdr>
          <w:top w:val="nil"/>
          <w:left w:val="nil"/>
          <w:bottom w:val="nil"/>
          <w:right w:val="nil"/>
          <w:between w:val="nil"/>
        </w:pBdr>
        <w:shd w:val="clear" w:color="auto" w:fill="FFFFFF"/>
        <w:jc w:val="center"/>
        <w:rPr>
          <w:rFonts w:ascii="inherit" w:eastAsia="inherit" w:hAnsi="inherit" w:cs="inherit"/>
          <w:b/>
          <w:color w:val="000000" w:themeColor="text1"/>
          <w:sz w:val="32"/>
          <w:szCs w:val="32"/>
          <w:u w:val="single"/>
        </w:rPr>
      </w:pPr>
    </w:p>
    <w:p w:rsidR="00062EEC" w:rsidRDefault="00DE4255">
      <w:pPr>
        <w:pStyle w:val="normal"/>
        <w:pBdr>
          <w:top w:val="nil"/>
          <w:left w:val="nil"/>
          <w:bottom w:val="nil"/>
          <w:right w:val="nil"/>
          <w:between w:val="nil"/>
        </w:pBdr>
        <w:shd w:val="clear" w:color="auto" w:fill="FFFFFF"/>
        <w:tabs>
          <w:tab w:val="center" w:pos="5103"/>
        </w:tabs>
        <w:rPr>
          <w:rFonts w:ascii="inherit" w:eastAsia="inherit" w:hAnsi="inherit" w:cs="inherit"/>
          <w:b/>
          <w:color w:val="000000" w:themeColor="text1"/>
          <w:sz w:val="28"/>
          <w:szCs w:val="28"/>
        </w:rPr>
      </w:pPr>
      <w:r w:rsidRPr="00154AE5">
        <w:rPr>
          <w:rFonts w:ascii="inherit" w:eastAsia="inherit" w:hAnsi="inherit" w:cs="inherit"/>
          <w:b/>
          <w:color w:val="000000" w:themeColor="text1"/>
          <w:sz w:val="28"/>
          <w:szCs w:val="28"/>
        </w:rPr>
        <w:tab/>
        <w:t>ΡΥΘΜΙΣΗ ΟΦΕΙΛΩΝ ΕΩΣ 60 ΔΟΣΕΙΣ</w:t>
      </w:r>
    </w:p>
    <w:p w:rsidR="00154AE5" w:rsidRPr="00154AE5" w:rsidRDefault="00154AE5">
      <w:pPr>
        <w:pStyle w:val="normal"/>
        <w:pBdr>
          <w:top w:val="nil"/>
          <w:left w:val="nil"/>
          <w:bottom w:val="nil"/>
          <w:right w:val="nil"/>
          <w:between w:val="nil"/>
        </w:pBdr>
        <w:shd w:val="clear" w:color="auto" w:fill="FFFFFF"/>
        <w:tabs>
          <w:tab w:val="center" w:pos="5103"/>
        </w:tabs>
        <w:rPr>
          <w:rFonts w:ascii="Open Sans" w:eastAsia="Open Sans" w:hAnsi="Open Sans" w:cs="Open Sans"/>
          <w:color w:val="000000" w:themeColor="text1"/>
          <w:sz w:val="28"/>
          <w:szCs w:val="28"/>
        </w:rPr>
      </w:pPr>
    </w:p>
    <w:p w:rsidR="00062EEC" w:rsidRPr="00154AE5" w:rsidRDefault="00062EEC">
      <w:pPr>
        <w:pStyle w:val="normal"/>
        <w:pBdr>
          <w:top w:val="nil"/>
          <w:left w:val="nil"/>
          <w:bottom w:val="nil"/>
          <w:right w:val="nil"/>
          <w:between w:val="nil"/>
        </w:pBdr>
        <w:shd w:val="clear" w:color="auto" w:fill="FFFFFF"/>
        <w:jc w:val="both"/>
        <w:rPr>
          <w:rFonts w:ascii="Open Sans" w:eastAsia="Open Sans" w:hAnsi="Open Sans" w:cs="Open Sans"/>
          <w:color w:val="000000" w:themeColor="text1"/>
          <w:sz w:val="18"/>
          <w:szCs w:val="18"/>
        </w:rPr>
      </w:pPr>
    </w:p>
    <w:p w:rsidR="00062EEC" w:rsidRPr="00154AE5" w:rsidRDefault="00DE4255">
      <w:pPr>
        <w:pStyle w:val="normal"/>
        <w:pBdr>
          <w:top w:val="nil"/>
          <w:left w:val="nil"/>
          <w:bottom w:val="nil"/>
          <w:right w:val="nil"/>
          <w:between w:val="nil"/>
        </w:pBdr>
        <w:shd w:val="clear" w:color="auto" w:fill="FFFFFF"/>
        <w:jc w:val="both"/>
        <w:rPr>
          <w:rFonts w:asciiTheme="majorHAnsi" w:eastAsia="Open Sans" w:hAnsiTheme="majorHAnsi" w:cstheme="majorHAnsi"/>
          <w:color w:val="000000" w:themeColor="text1"/>
        </w:rPr>
      </w:pPr>
      <w:r w:rsidRPr="00154AE5">
        <w:rPr>
          <w:rFonts w:asciiTheme="majorHAnsi" w:eastAsia="Open Sans" w:hAnsiTheme="majorHAnsi" w:cstheme="majorHAnsi"/>
          <w:color w:val="000000" w:themeColor="text1"/>
        </w:rPr>
        <w:t xml:space="preserve">Ο Δήμος Ζαγοράς - Μουρεσίου ενημερώνει ότι θα κληθεί να εφαρμόσει τις διατάξεις των δύο νέων νόμων, (5027/2023 και 5043/2023) βάσει των </w:t>
      </w:r>
      <w:r w:rsidR="00154AE5" w:rsidRPr="00154AE5">
        <w:rPr>
          <w:rFonts w:asciiTheme="majorHAnsi" w:eastAsia="Open Sans" w:hAnsiTheme="majorHAnsi" w:cstheme="majorHAnsi"/>
          <w:color w:val="000000" w:themeColor="text1"/>
        </w:rPr>
        <w:t>οποίων</w:t>
      </w:r>
      <w:r w:rsidRPr="00154AE5">
        <w:rPr>
          <w:rFonts w:asciiTheme="majorHAnsi" w:eastAsia="Open Sans" w:hAnsiTheme="majorHAnsi" w:cstheme="majorHAnsi"/>
          <w:color w:val="000000" w:themeColor="text1"/>
        </w:rPr>
        <w:t xml:space="preserve">, οι δήμοι είναι υποχρεωμένοι </w:t>
      </w:r>
      <w:r w:rsidRPr="00154AE5">
        <w:rPr>
          <w:rFonts w:asciiTheme="majorHAnsi" w:eastAsia="Open Sans" w:hAnsiTheme="majorHAnsi" w:cstheme="majorHAnsi"/>
          <w:b/>
          <w:color w:val="000000" w:themeColor="text1"/>
        </w:rPr>
        <w:t>να βεβαιώνουν τις οφειλές των δημοτών</w:t>
      </w:r>
      <w:r w:rsidR="00154AE5" w:rsidRPr="00154AE5">
        <w:rPr>
          <w:rFonts w:asciiTheme="majorHAnsi" w:eastAsia="Open Sans" w:hAnsiTheme="majorHAnsi" w:cstheme="majorHAnsi"/>
          <w:b/>
          <w:color w:val="000000" w:themeColor="text1"/>
        </w:rPr>
        <w:t>,</w:t>
      </w:r>
      <w:r w:rsidRPr="00154AE5">
        <w:rPr>
          <w:rFonts w:asciiTheme="majorHAnsi" w:eastAsia="Open Sans" w:hAnsiTheme="majorHAnsi" w:cstheme="majorHAnsi"/>
          <w:color w:val="000000" w:themeColor="text1"/>
        </w:rPr>
        <w:t xml:space="preserve"> στη συνέχεια να </w:t>
      </w:r>
      <w:r w:rsidR="00154AE5">
        <w:rPr>
          <w:rFonts w:asciiTheme="majorHAnsi" w:eastAsia="Open Sans" w:hAnsiTheme="majorHAnsi" w:cstheme="majorHAnsi"/>
          <w:color w:val="000000" w:themeColor="text1"/>
        </w:rPr>
        <w:t>δεσμεύεται το ΑΦΜ στην Εφορία</w:t>
      </w:r>
      <w:r w:rsidR="00154AE5" w:rsidRPr="00154AE5">
        <w:rPr>
          <w:rFonts w:asciiTheme="majorHAnsi" w:eastAsia="Open Sans" w:hAnsiTheme="majorHAnsi" w:cstheme="majorHAnsi"/>
          <w:color w:val="000000" w:themeColor="text1"/>
        </w:rPr>
        <w:t xml:space="preserve"> </w:t>
      </w:r>
      <w:r w:rsidR="00154AE5">
        <w:rPr>
          <w:rFonts w:asciiTheme="majorHAnsi" w:eastAsia="Open Sans" w:hAnsiTheme="majorHAnsi" w:cstheme="majorHAnsi"/>
          <w:color w:val="000000" w:themeColor="text1"/>
        </w:rPr>
        <w:t>και έ</w:t>
      </w:r>
      <w:r w:rsidR="00154AE5" w:rsidRPr="00154AE5">
        <w:rPr>
          <w:rFonts w:asciiTheme="majorHAnsi" w:eastAsia="Open Sans" w:hAnsiTheme="majorHAnsi" w:cstheme="majorHAnsi"/>
          <w:color w:val="000000" w:themeColor="text1"/>
        </w:rPr>
        <w:t>πειτα</w:t>
      </w:r>
      <w:r w:rsidRPr="00154AE5">
        <w:rPr>
          <w:rFonts w:asciiTheme="majorHAnsi" w:eastAsia="Open Sans" w:hAnsiTheme="majorHAnsi" w:cstheme="majorHAnsi"/>
          <w:color w:val="000000" w:themeColor="text1"/>
        </w:rPr>
        <w:t xml:space="preserve"> θα </w:t>
      </w:r>
      <w:r w:rsidR="00154AE5" w:rsidRPr="00154AE5">
        <w:rPr>
          <w:rFonts w:asciiTheme="majorHAnsi" w:eastAsia="Open Sans" w:hAnsiTheme="majorHAnsi" w:cstheme="majorHAnsi"/>
          <w:color w:val="000000" w:themeColor="text1"/>
        </w:rPr>
        <w:t>ακολουθείται</w:t>
      </w:r>
      <w:r w:rsidRPr="00154AE5">
        <w:rPr>
          <w:rFonts w:asciiTheme="majorHAnsi" w:eastAsia="Open Sans" w:hAnsiTheme="majorHAnsi" w:cstheme="majorHAnsi"/>
          <w:color w:val="000000" w:themeColor="text1"/>
        </w:rPr>
        <w:t xml:space="preserve"> η </w:t>
      </w:r>
      <w:r w:rsidRPr="00154AE5">
        <w:rPr>
          <w:rFonts w:asciiTheme="majorHAnsi" w:eastAsia="Open Sans" w:hAnsiTheme="majorHAnsi" w:cstheme="majorHAnsi"/>
          <w:b/>
          <w:color w:val="000000" w:themeColor="text1"/>
        </w:rPr>
        <w:t>διαδικασία</w:t>
      </w:r>
      <w:r>
        <w:rPr>
          <w:rFonts w:asciiTheme="majorHAnsi" w:eastAsia="Open Sans" w:hAnsiTheme="majorHAnsi" w:cstheme="majorHAnsi"/>
          <w:b/>
          <w:color w:val="000000" w:themeColor="text1"/>
        </w:rPr>
        <w:t xml:space="preserve"> της</w:t>
      </w:r>
      <w:r w:rsidRPr="00154AE5">
        <w:rPr>
          <w:rFonts w:asciiTheme="majorHAnsi" w:eastAsia="Open Sans" w:hAnsiTheme="majorHAnsi" w:cstheme="majorHAnsi"/>
          <w:b/>
          <w:color w:val="000000" w:themeColor="text1"/>
        </w:rPr>
        <w:t xml:space="preserve"> κατάσχεσης</w:t>
      </w:r>
      <w:r w:rsidRPr="00154AE5">
        <w:rPr>
          <w:rFonts w:asciiTheme="majorHAnsi" w:eastAsia="Open Sans" w:hAnsiTheme="majorHAnsi" w:cstheme="majorHAnsi"/>
          <w:color w:val="000000" w:themeColor="text1"/>
        </w:rPr>
        <w:t xml:space="preserve">. </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b/>
          <w:color w:val="000000" w:themeColor="text1"/>
        </w:rPr>
      </w:pPr>
      <w:r w:rsidRPr="00154AE5">
        <w:rPr>
          <w:rFonts w:ascii="Calibri" w:eastAsia="Calibri" w:hAnsi="Calibri" w:cs="Calibri"/>
          <w:color w:val="000000" w:themeColor="text1"/>
        </w:rPr>
        <w:t xml:space="preserve">   </w:t>
      </w:r>
    </w:p>
    <w:p w:rsidR="00062EEC" w:rsidRPr="00DE4255" w:rsidRDefault="00DE4255">
      <w:pPr>
        <w:pStyle w:val="normal"/>
        <w:pBdr>
          <w:top w:val="nil"/>
          <w:left w:val="nil"/>
          <w:bottom w:val="nil"/>
          <w:right w:val="nil"/>
          <w:between w:val="nil"/>
        </w:pBdr>
        <w:shd w:val="clear" w:color="auto" w:fill="FFFFFF"/>
        <w:jc w:val="both"/>
        <w:rPr>
          <w:rFonts w:ascii="Calibri" w:eastAsia="Calibri" w:hAnsi="Calibri" w:cs="Calibri"/>
          <w:b/>
          <w:color w:val="000000" w:themeColor="text1"/>
        </w:rPr>
      </w:pPr>
      <w:r w:rsidRPr="00154AE5">
        <w:rPr>
          <w:rFonts w:ascii="Calibri" w:eastAsia="Calibri" w:hAnsi="Calibri" w:cs="Calibri"/>
          <w:color w:val="000000" w:themeColor="text1"/>
        </w:rPr>
        <w:t>Οι πολίτες</w:t>
      </w:r>
      <w:r w:rsidR="00154AE5">
        <w:rPr>
          <w:rFonts w:ascii="Calibri" w:eastAsia="Calibri" w:hAnsi="Calibri" w:cs="Calibri"/>
          <w:color w:val="000000" w:themeColor="text1"/>
        </w:rPr>
        <w:t xml:space="preserve"> πλέον </w:t>
      </w:r>
      <w:r w:rsidRPr="00154AE5">
        <w:rPr>
          <w:rFonts w:ascii="Calibri" w:eastAsia="Calibri" w:hAnsi="Calibri" w:cs="Calibri"/>
          <w:b/>
          <w:color w:val="000000" w:themeColor="text1"/>
        </w:rPr>
        <w:t xml:space="preserve"> έχουν τη δυνατότητα να ρυθμίσουν τις οφειλές τους προς τον Δήμο, έως 60 δόσεις</w:t>
      </w:r>
      <w:r w:rsidRPr="00154AE5">
        <w:rPr>
          <w:rFonts w:ascii="Calibri" w:eastAsia="Calibri" w:hAnsi="Calibri" w:cs="Calibri"/>
          <w:color w:val="000000" w:themeColor="text1"/>
        </w:rPr>
        <w:t>, σύμφωνα με το νέο νόμο</w:t>
      </w:r>
      <w:r w:rsidR="00154AE5">
        <w:rPr>
          <w:rFonts w:ascii="Calibri" w:eastAsia="Calibri" w:hAnsi="Calibri" w:cs="Calibri"/>
          <w:color w:val="000000" w:themeColor="text1"/>
        </w:rPr>
        <w:t xml:space="preserve">  </w:t>
      </w:r>
      <w:r w:rsidR="00154AE5" w:rsidRPr="00154AE5">
        <w:rPr>
          <w:rFonts w:ascii="Calibri" w:eastAsia="Calibri" w:hAnsi="Calibri" w:cs="Calibri"/>
          <w:color w:val="000000" w:themeColor="text1"/>
        </w:rPr>
        <w:t xml:space="preserve">5143/2024 </w:t>
      </w:r>
      <w:r w:rsidR="00154AE5">
        <w:rPr>
          <w:rFonts w:ascii="Calibri" w:eastAsia="Calibri" w:hAnsi="Calibri" w:cs="Calibri"/>
          <w:color w:val="000000" w:themeColor="text1"/>
        </w:rPr>
        <w:t xml:space="preserve"> του υπουργείου Εσωτερικών, καθώς και </w:t>
      </w:r>
      <w:r w:rsidR="00154AE5" w:rsidRPr="00DE4255">
        <w:rPr>
          <w:rFonts w:ascii="Calibri" w:eastAsia="Calibri" w:hAnsi="Calibri" w:cs="Calibri"/>
          <w:b/>
          <w:color w:val="000000" w:themeColor="text1"/>
        </w:rPr>
        <w:t>διαγραφή μέρους των προσαυξήσεων</w:t>
      </w:r>
      <w:r w:rsidRPr="00DE4255">
        <w:rPr>
          <w:rFonts w:ascii="Calibri" w:eastAsia="Calibri" w:hAnsi="Calibri" w:cs="Calibri"/>
          <w:b/>
          <w:color w:val="000000" w:themeColor="text1"/>
        </w:rPr>
        <w:t xml:space="preserve"> για τους ευάλωτους οφειλέτες.</w:t>
      </w:r>
    </w:p>
    <w:p w:rsidR="00062EEC" w:rsidRPr="00154AE5" w:rsidRDefault="00062EEC">
      <w:pPr>
        <w:pStyle w:val="normal"/>
        <w:pBdr>
          <w:top w:val="nil"/>
          <w:left w:val="nil"/>
          <w:bottom w:val="nil"/>
          <w:right w:val="nil"/>
          <w:between w:val="nil"/>
        </w:pBdr>
        <w:shd w:val="clear" w:color="auto" w:fill="FFFFFF"/>
        <w:jc w:val="both"/>
        <w:rPr>
          <w:rFonts w:ascii="Calibri" w:eastAsia="Calibri" w:hAnsi="Calibri" w:cs="Calibri"/>
          <w:color w:val="000000" w:themeColor="text1"/>
        </w:rPr>
      </w:pP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b/>
          <w:color w:val="000000" w:themeColor="text1"/>
          <w:u w:val="single"/>
        </w:rPr>
      </w:pPr>
      <w:r>
        <w:rPr>
          <w:rFonts w:ascii="Calibri" w:eastAsia="Calibri" w:hAnsi="Calibri" w:cs="Calibri"/>
          <w:b/>
          <w:color w:val="000000" w:themeColor="text1"/>
        </w:rPr>
        <w:t>Καταλυτική η</w:t>
      </w:r>
      <w:r w:rsidRPr="00154AE5">
        <w:rPr>
          <w:rFonts w:ascii="Calibri" w:eastAsia="Calibri" w:hAnsi="Calibri" w:cs="Calibri"/>
          <w:b/>
          <w:color w:val="000000" w:themeColor="text1"/>
        </w:rPr>
        <w:t xml:space="preserve">μερομηνία υποβολής αίτησης έως  </w:t>
      </w:r>
      <w:r w:rsidRPr="00154AE5">
        <w:rPr>
          <w:rFonts w:ascii="Calibri" w:eastAsia="Calibri" w:hAnsi="Calibri" w:cs="Calibri"/>
          <w:b/>
          <w:color w:val="000000" w:themeColor="text1"/>
          <w:u w:val="single"/>
        </w:rPr>
        <w:t>31/01/2025</w:t>
      </w:r>
    </w:p>
    <w:p w:rsidR="00062EEC" w:rsidRPr="00154AE5" w:rsidRDefault="00062EEC">
      <w:pPr>
        <w:pStyle w:val="normal"/>
        <w:pBdr>
          <w:top w:val="nil"/>
          <w:left w:val="nil"/>
          <w:bottom w:val="nil"/>
          <w:right w:val="nil"/>
          <w:between w:val="nil"/>
        </w:pBdr>
        <w:shd w:val="clear" w:color="auto" w:fill="FFFFFF"/>
        <w:jc w:val="both"/>
        <w:rPr>
          <w:rFonts w:ascii="Calibri" w:eastAsia="Calibri" w:hAnsi="Calibri" w:cs="Calibri"/>
          <w:b/>
          <w:color w:val="000000" w:themeColor="text1"/>
          <w:u w:val="single"/>
        </w:rPr>
      </w:pP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color w:val="000000" w:themeColor="text1"/>
        </w:rPr>
        <w:t xml:space="preserve">    Πιο συγκεκριμένα (Άρθρο 25, παρ. 2), η ρύθμιση αφορά  σε κάθε είδους οφειλές προς τους Δήμους και τα νομικά τους πρόσωπα, από φυσικά και νομικά πρόσωπα, εφόσον αυτές έχουν βεβαιωθεί έως τις 31.10.2024, ύστερα από αίτηση του οφειλέτη προς την αρμόδια για την είσπραξή τους υπηρεσία του οικείου Δήμου ή του νομικού του προσώπου, οι οποίες ρυθμίζονται και εξοφλούνται </w:t>
      </w:r>
      <w:r w:rsidRPr="00154AE5">
        <w:rPr>
          <w:rFonts w:ascii="Calibri" w:eastAsia="Calibri" w:hAnsi="Calibri" w:cs="Calibri"/>
          <w:b/>
          <w:color w:val="000000" w:themeColor="text1"/>
        </w:rPr>
        <w:t>σε έως 60 δόσεις</w:t>
      </w:r>
      <w:r w:rsidRPr="00154AE5">
        <w:rPr>
          <w:rFonts w:ascii="Calibri" w:eastAsia="Calibri" w:hAnsi="Calibri" w:cs="Calibri"/>
          <w:color w:val="000000" w:themeColor="text1"/>
        </w:rPr>
        <w:t>.</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color w:val="000000" w:themeColor="text1"/>
        </w:rPr>
        <w:t>Οι </w:t>
      </w:r>
      <w:r w:rsidRPr="00154AE5">
        <w:rPr>
          <w:rFonts w:ascii="Calibri" w:eastAsia="Calibri" w:hAnsi="Calibri" w:cs="Calibri"/>
          <w:b/>
          <w:color w:val="000000" w:themeColor="text1"/>
        </w:rPr>
        <w:t>δόσεις</w:t>
      </w:r>
      <w:r w:rsidRPr="00154AE5">
        <w:rPr>
          <w:rFonts w:ascii="Calibri" w:eastAsia="Calibri" w:hAnsi="Calibri" w:cs="Calibri"/>
          <w:color w:val="000000" w:themeColor="text1"/>
        </w:rPr>
        <w:t> είναι μηνιαίες και ισόποσες πλην της τελευταίας που μπορεί να είναι μικρότερη των υπολοίπων. Κάθε δόση, πλην της τελευταίας, δεν μπορεί να είναι μικρότερη των 50 ευρώ (Άρθρο 25, παρ. 3).</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color w:val="000000" w:themeColor="text1"/>
        </w:rPr>
        <w:t>Επισημαίνεται ότι στη ρύθμιση μπορεί επίσης να υπάγονται και οφειλές που κατά την ημερομηνία υποβολής της αίτησης (Άρθρο 25, παρ. 4):</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α)</w:t>
      </w:r>
      <w:r w:rsidRPr="00154AE5">
        <w:rPr>
          <w:rFonts w:ascii="Calibri" w:eastAsia="Calibri" w:hAnsi="Calibri" w:cs="Calibri"/>
          <w:color w:val="000000" w:themeColor="text1"/>
        </w:rPr>
        <w:t> τελούν σε αναστολή, διοικητική ή εκ του νόμου,</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β)</w:t>
      </w:r>
      <w:r w:rsidRPr="00154AE5">
        <w:rPr>
          <w:rFonts w:ascii="Calibri" w:eastAsia="Calibri" w:hAnsi="Calibri" w:cs="Calibri"/>
          <w:color w:val="000000" w:themeColor="text1"/>
        </w:rPr>
        <w:t> 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γ)</w:t>
      </w:r>
      <w:r w:rsidRPr="00154AE5">
        <w:rPr>
          <w:rFonts w:ascii="Calibri" w:eastAsia="Calibri" w:hAnsi="Calibri" w:cs="Calibri"/>
          <w:color w:val="000000" w:themeColor="text1"/>
        </w:rPr>
        <w:t> δεν έχουν βεβαιωθεί, επειδή εκκρεμεί για αυτές δικαστική αμφισβήτηση σε οποιονδήποτε βαθμό, εφόσον, στην τελευταία περίπτωση, ο οφειλέτης παραιτηθεί από τα ασκηθέντα ένδικα βοηθήματα ή μέσα. Αν με το ένδικο βοήθημα είχε συνυποβληθεί αίτημα συμβιβαστικής επίλυσης της διαφοράς, η ανωτέρω παραίτηση καταλαμβάνει και το αίτημα αυτό. Βεβαίωση της γραμματείας του δικαστηρίου, όπου εκκρεμούσε η υπόθεση, ότι έχει υποβληθεί παραίτηση, επισυνάπτεται στην αίτηση υπαγωγής στη ρύθμιση.</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color w:val="000000" w:themeColor="text1"/>
        </w:rPr>
        <w:t xml:space="preserve">       Η </w:t>
      </w:r>
      <w:r w:rsidRPr="00154AE5">
        <w:rPr>
          <w:rFonts w:ascii="Calibri" w:eastAsia="Calibri" w:hAnsi="Calibri" w:cs="Calibri"/>
          <w:b/>
          <w:color w:val="000000" w:themeColor="text1"/>
        </w:rPr>
        <w:t>πληρωμή</w:t>
      </w:r>
      <w:r w:rsidRPr="00154AE5">
        <w:rPr>
          <w:rFonts w:ascii="Calibri" w:eastAsia="Calibri" w:hAnsi="Calibri" w:cs="Calibri"/>
          <w:color w:val="000000" w:themeColor="text1"/>
        </w:rPr>
        <w:t>, είτε του εφάπαξ ποσού είτε της πρώτης δόσης, πραγματοποιείται μέσα σε 3 εργάσιμες ημέρες από την ημέρα γνώσης του οφειλέτη περί υπαγωγής του στη ρύθμιση, διαφορετικά η ρύθμιση καταργείται αυτοδικαίως. Οι επόμενες δόσεις καταβάλλονται μέχρι την τελευταία εργάσιμη ημέρα του αντίστοιχου μήνα, χωρίς να απαιτείται ιδιαίτερη ειδοποίηση του οφειλέτη.</w:t>
      </w:r>
    </w:p>
    <w:p w:rsidR="00062EEC"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color w:val="000000" w:themeColor="text1"/>
        </w:rPr>
        <w:t xml:space="preserve">      Στο ίδιο άρθρο προβλέπεται και η </w:t>
      </w:r>
      <w:r w:rsidRPr="00154AE5">
        <w:rPr>
          <w:rFonts w:ascii="Calibri" w:eastAsia="Calibri" w:hAnsi="Calibri" w:cs="Calibri"/>
          <w:b/>
          <w:color w:val="000000" w:themeColor="text1"/>
        </w:rPr>
        <w:t>περίπτωση καθυστέρησης καταβολής της δόσης</w:t>
      </w:r>
      <w:r w:rsidRPr="00154AE5">
        <w:rPr>
          <w:rFonts w:ascii="Calibri" w:eastAsia="Calibri" w:hAnsi="Calibri" w:cs="Calibri"/>
          <w:color w:val="000000" w:themeColor="text1"/>
        </w:rPr>
        <w:t> (παρ. 8 και 9), η οποία συνεπάγεται την επιβάρυνση με μηνιαία προσαύξηση 5% επί το ποσού της δόσης, από την επόμενη της ημέρας που όφειλε αυτή να καταβληθεί. Εφόσον ο οφειλέτης, σε οποιοδήποτε στάδιο της ρύθμισης, εξοφλήσει εφάπαξ τις υπόλοιπες δόσεις των ρυθμισμένων οφειλών, παρέχεται απαλλαγή κατά ποσοστό επί του εναπομείναντος ποσού των προσαυξήσεων εκπρόθεσμης καταβολής και των προστίμων, ίσο με αυτό που αντιστοιχεί στον αριθμό των μηνιαίων δόσεων που τελικά διαμορφώνεται, με αντίστοιχη τροποποίηση της απόφασης του αρμόδιου οργάνου.</w:t>
      </w:r>
    </w:p>
    <w:p w:rsidR="00154AE5" w:rsidRDefault="00154AE5">
      <w:pPr>
        <w:pStyle w:val="normal"/>
        <w:pBdr>
          <w:top w:val="nil"/>
          <w:left w:val="nil"/>
          <w:bottom w:val="nil"/>
          <w:right w:val="nil"/>
          <w:between w:val="nil"/>
        </w:pBdr>
        <w:shd w:val="clear" w:color="auto" w:fill="FFFFFF"/>
        <w:jc w:val="both"/>
        <w:rPr>
          <w:rFonts w:ascii="Calibri" w:eastAsia="Calibri" w:hAnsi="Calibri" w:cs="Calibri"/>
          <w:color w:val="000000" w:themeColor="text1"/>
        </w:rPr>
      </w:pPr>
    </w:p>
    <w:p w:rsidR="00154AE5" w:rsidRPr="00154AE5" w:rsidRDefault="00154AE5">
      <w:pPr>
        <w:pStyle w:val="normal"/>
        <w:pBdr>
          <w:top w:val="nil"/>
          <w:left w:val="nil"/>
          <w:bottom w:val="nil"/>
          <w:right w:val="nil"/>
          <w:between w:val="nil"/>
        </w:pBdr>
        <w:shd w:val="clear" w:color="auto" w:fill="FFFFFF"/>
        <w:jc w:val="both"/>
        <w:rPr>
          <w:rFonts w:ascii="Calibri" w:eastAsia="Calibri" w:hAnsi="Calibri" w:cs="Calibri"/>
          <w:color w:val="000000" w:themeColor="text1"/>
        </w:rPr>
      </w:pP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color w:val="000000" w:themeColor="text1"/>
        </w:rPr>
        <w:t xml:space="preserve">       </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b/>
          <w:color w:val="000000" w:themeColor="text1"/>
          <w:u w:val="single"/>
        </w:rPr>
      </w:pPr>
      <w:r w:rsidRPr="00154AE5">
        <w:rPr>
          <w:rFonts w:ascii="Calibri" w:eastAsia="Calibri" w:hAnsi="Calibri" w:cs="Calibri"/>
          <w:b/>
          <w:color w:val="000000" w:themeColor="text1"/>
          <w:u w:val="single"/>
        </w:rPr>
        <w:lastRenderedPageBreak/>
        <w:t xml:space="preserve"> Η απαλλαγή από προσαυξήσεις ισχύει μόνο για τα ευάλωτα νοικοκυριά</w:t>
      </w:r>
      <w:r w:rsidRPr="00154AE5">
        <w:rPr>
          <w:rFonts w:ascii="Calibri" w:eastAsia="Calibri" w:hAnsi="Calibri" w:cs="Calibri"/>
          <w:color w:val="000000" w:themeColor="text1"/>
          <w:u w:val="single"/>
        </w:rPr>
        <w:t>,</w:t>
      </w:r>
      <w:r w:rsidRPr="00154AE5">
        <w:rPr>
          <w:rFonts w:ascii="Calibri" w:eastAsia="Calibri" w:hAnsi="Calibri" w:cs="Calibri"/>
          <w:b/>
          <w:color w:val="000000" w:themeColor="text1"/>
          <w:u w:val="single"/>
        </w:rPr>
        <w:t xml:space="preserve"> εφόσον έχουν εκδώσει βεβαίωση ευάλωτου οφειλέτη και διαμορφώνεται ως εξής:</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α)</w:t>
      </w:r>
      <w:r w:rsidRPr="00154AE5">
        <w:rPr>
          <w:rFonts w:ascii="Calibri" w:eastAsia="Calibri" w:hAnsi="Calibri" w:cs="Calibri"/>
          <w:color w:val="000000" w:themeColor="text1"/>
        </w:rPr>
        <w:t> Αν εξοφληθούν οι οφειλές εφάπαξ, απαλλαγή προσαυξήσεων κατά 95%.</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β)</w:t>
      </w:r>
      <w:r w:rsidRPr="00154AE5">
        <w:rPr>
          <w:rFonts w:ascii="Calibri" w:eastAsia="Calibri" w:hAnsi="Calibri" w:cs="Calibri"/>
          <w:color w:val="000000" w:themeColor="text1"/>
        </w:rPr>
        <w:t> Αν εξοφληθούν σε 2 έως 6 δόσεις, απαλλαγή προσαυξήσεων κατά 85%.</w:t>
      </w:r>
    </w:p>
    <w:p w:rsidR="00062EEC" w:rsidRPr="00154AE5"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γ)</w:t>
      </w:r>
      <w:r w:rsidRPr="00154AE5">
        <w:rPr>
          <w:rFonts w:ascii="Calibri" w:eastAsia="Calibri" w:hAnsi="Calibri" w:cs="Calibri"/>
          <w:color w:val="000000" w:themeColor="text1"/>
        </w:rPr>
        <w:t> Αν εξοφληθούν σε 7 έως 12 δόσεις, απαλλαγή προσαυξήσεων κατά 80%.</w:t>
      </w:r>
    </w:p>
    <w:p w:rsidR="00081A29" w:rsidRDefault="00DE4255">
      <w:pPr>
        <w:pStyle w:val="normal"/>
        <w:pBdr>
          <w:top w:val="nil"/>
          <w:left w:val="nil"/>
          <w:bottom w:val="nil"/>
          <w:right w:val="nil"/>
          <w:between w:val="nil"/>
        </w:pBdr>
        <w:shd w:val="clear" w:color="auto" w:fill="FFFFFF"/>
        <w:jc w:val="both"/>
        <w:rPr>
          <w:rFonts w:ascii="Calibri" w:eastAsia="Calibri" w:hAnsi="Calibri" w:cs="Calibri"/>
          <w:color w:val="000000" w:themeColor="text1"/>
        </w:rPr>
      </w:pPr>
      <w:r w:rsidRPr="00154AE5">
        <w:rPr>
          <w:rFonts w:ascii="Calibri" w:eastAsia="Calibri" w:hAnsi="Calibri" w:cs="Calibri"/>
          <w:b/>
          <w:color w:val="000000" w:themeColor="text1"/>
        </w:rPr>
        <w:t>δ)</w:t>
      </w:r>
      <w:r w:rsidRPr="00154AE5">
        <w:rPr>
          <w:rFonts w:ascii="Calibri" w:eastAsia="Calibri" w:hAnsi="Calibri" w:cs="Calibri"/>
          <w:color w:val="000000" w:themeColor="text1"/>
        </w:rPr>
        <w:t> Αν εξοφληθούν σε 13 έως 60 δόσεις, απαλλαγή προσαυξήσεων κατά 75%.</w:t>
      </w:r>
    </w:p>
    <w:p w:rsidR="00081A29" w:rsidRDefault="00081A29">
      <w:pPr>
        <w:pStyle w:val="normal"/>
        <w:pBdr>
          <w:top w:val="nil"/>
          <w:left w:val="nil"/>
          <w:bottom w:val="nil"/>
          <w:right w:val="nil"/>
          <w:between w:val="nil"/>
        </w:pBdr>
        <w:shd w:val="clear" w:color="auto" w:fill="FFFFFF"/>
        <w:jc w:val="both"/>
        <w:rPr>
          <w:rFonts w:asciiTheme="majorHAnsi" w:hAnsiTheme="majorHAnsi" w:cstheme="majorHAnsi"/>
          <w:color w:val="222222"/>
          <w:shd w:val="clear" w:color="auto" w:fill="FFFFFF"/>
        </w:rPr>
      </w:pPr>
      <w:r w:rsidRPr="00081A29">
        <w:rPr>
          <w:rFonts w:asciiTheme="majorHAnsi" w:hAnsiTheme="majorHAnsi" w:cstheme="majorHAnsi"/>
          <w:color w:val="222222"/>
        </w:rPr>
        <w:br/>
      </w:r>
      <w:r w:rsidRPr="002E1318">
        <w:rPr>
          <w:rFonts w:asciiTheme="majorHAnsi" w:hAnsiTheme="majorHAnsi" w:cstheme="majorHAnsi"/>
          <w:b/>
          <w:color w:val="222222"/>
          <w:shd w:val="clear" w:color="auto" w:fill="FFFFFF"/>
        </w:rPr>
        <w:t>Στην κατηγορία των</w:t>
      </w:r>
      <w:r w:rsidRPr="00081A29">
        <w:rPr>
          <w:rFonts w:asciiTheme="majorHAnsi" w:hAnsiTheme="majorHAnsi" w:cstheme="majorHAnsi"/>
          <w:color w:val="222222"/>
          <w:shd w:val="clear" w:color="auto" w:fill="FFFFFF"/>
        </w:rPr>
        <w:t xml:space="preserve"> </w:t>
      </w:r>
      <w:r w:rsidRPr="002E1318">
        <w:rPr>
          <w:rFonts w:asciiTheme="majorHAnsi" w:hAnsiTheme="majorHAnsi" w:cstheme="majorHAnsi"/>
          <w:b/>
          <w:color w:val="222222"/>
          <w:shd w:val="clear" w:color="auto" w:fill="FFFFFF"/>
        </w:rPr>
        <w:t>ευάλωτων οφειλετών εντάσσονται</w:t>
      </w:r>
      <w:r w:rsidRPr="00081A29">
        <w:rPr>
          <w:rFonts w:asciiTheme="majorHAnsi" w:hAnsiTheme="majorHAnsi" w:cstheme="majorHAnsi"/>
          <w:color w:val="222222"/>
          <w:shd w:val="clear" w:color="auto" w:fill="FFFFFF"/>
        </w:rPr>
        <w:t xml:space="preserve"> </w:t>
      </w:r>
      <w:r w:rsidRPr="002E1318">
        <w:rPr>
          <w:rFonts w:asciiTheme="majorHAnsi" w:hAnsiTheme="majorHAnsi" w:cstheme="majorHAnsi"/>
          <w:b/>
          <w:color w:val="222222"/>
          <w:shd w:val="clear" w:color="auto" w:fill="FFFFFF"/>
        </w:rPr>
        <w:t>νοικοκυριά</w:t>
      </w:r>
      <w:r w:rsidRPr="00081A29">
        <w:rPr>
          <w:rFonts w:asciiTheme="majorHAnsi" w:hAnsiTheme="majorHAnsi" w:cstheme="majorHAnsi"/>
          <w:color w:val="222222"/>
          <w:shd w:val="clear" w:color="auto" w:fill="FFFFFF"/>
        </w:rPr>
        <w:t xml:space="preserve"> με εισόδημα έως 21.000 ευρώ ετησίως και με ακίνητη περιουσία έως 180.000 ευρώ, ανάλογα με τη σύνθεση του νοικοκυριού.</w:t>
      </w:r>
      <w:r>
        <w:rPr>
          <w:rFonts w:asciiTheme="majorHAnsi" w:hAnsiTheme="majorHAnsi" w:cstheme="majorHAnsi"/>
          <w:color w:val="222222"/>
          <w:shd w:val="clear" w:color="auto" w:fill="FFFFFF"/>
        </w:rPr>
        <w:t xml:space="preserve"> </w:t>
      </w:r>
      <w:r w:rsidRPr="00081A29">
        <w:rPr>
          <w:rFonts w:asciiTheme="majorHAnsi" w:hAnsiTheme="majorHAnsi" w:cstheme="majorHAnsi"/>
          <w:color w:val="222222"/>
          <w:shd w:val="clear" w:color="auto" w:fill="FFFFFF"/>
        </w:rPr>
        <w:t>Πιο αναλυτικά, ως ευάλωτοι οφειλέτες εννοούνται εκείνοι που πληρούν τα παρακάτω εισοδηματικά και περιουσιακά κριτήρια, σύμφωνα με τη σήμερα ισχύουσα Υπουργική Απόφαση 71670/2021 (ΦΕΚ Β 4500/29.09.2021) για τον καθορισμό των Όρων και Προϋποθέσεων του Επιδόματος Στέγασης</w:t>
      </w:r>
      <w:r w:rsidR="002E1318">
        <w:rPr>
          <w:rFonts w:asciiTheme="majorHAnsi" w:hAnsiTheme="majorHAnsi" w:cstheme="majorHAnsi"/>
          <w:color w:val="222222"/>
          <w:shd w:val="clear" w:color="auto" w:fill="FFFFFF"/>
        </w:rPr>
        <w:t>.</w:t>
      </w:r>
    </w:p>
    <w:p w:rsidR="00081A29" w:rsidRPr="002F5D30" w:rsidRDefault="00081A29" w:rsidP="002E1318">
      <w:pPr>
        <w:pStyle w:val="normal"/>
        <w:pBdr>
          <w:top w:val="nil"/>
          <w:left w:val="nil"/>
          <w:bottom w:val="nil"/>
          <w:right w:val="nil"/>
          <w:between w:val="nil"/>
        </w:pBdr>
        <w:shd w:val="clear" w:color="auto" w:fill="FFFFFF"/>
        <w:jc w:val="both"/>
        <w:rPr>
          <w:rFonts w:ascii="Calibri" w:eastAsia="Calibri" w:hAnsi="Calibri" w:cs="Calibri"/>
          <w:b/>
          <w:color w:val="000000" w:themeColor="text1"/>
          <w:u w:val="single"/>
        </w:rPr>
      </w:pPr>
      <w:r w:rsidRPr="00081A29">
        <w:rPr>
          <w:rFonts w:asciiTheme="majorHAnsi" w:hAnsiTheme="majorHAnsi" w:cstheme="majorHAnsi"/>
          <w:color w:val="222222"/>
        </w:rPr>
        <w:br/>
      </w:r>
      <w:r w:rsidR="004E3260" w:rsidRPr="002F5D30">
        <w:rPr>
          <w:rFonts w:ascii="Calibri" w:eastAsia="Calibri" w:hAnsi="Calibri" w:cs="Calibri"/>
          <w:b/>
          <w:color w:val="000000" w:themeColor="text1"/>
          <w:u w:val="single"/>
        </w:rPr>
        <w:t xml:space="preserve">Πληροφορίες </w:t>
      </w:r>
    </w:p>
    <w:p w:rsidR="004E3260" w:rsidRPr="002F5D30" w:rsidRDefault="004E3260" w:rsidP="002E1318">
      <w:pPr>
        <w:pStyle w:val="normal"/>
        <w:pBdr>
          <w:top w:val="nil"/>
          <w:left w:val="nil"/>
          <w:bottom w:val="nil"/>
          <w:right w:val="nil"/>
          <w:between w:val="nil"/>
        </w:pBdr>
        <w:shd w:val="clear" w:color="auto" w:fill="FFFFFF"/>
        <w:jc w:val="both"/>
        <w:rPr>
          <w:rFonts w:ascii="Calibri" w:eastAsia="Calibri" w:hAnsi="Calibri" w:cs="Calibri"/>
          <w:b/>
          <w:color w:val="000000" w:themeColor="text1"/>
          <w:u w:val="single"/>
        </w:rPr>
      </w:pPr>
      <w:r w:rsidRPr="002F5D30">
        <w:rPr>
          <w:rFonts w:ascii="Calibri" w:eastAsia="Calibri" w:hAnsi="Calibri" w:cs="Calibri"/>
          <w:b/>
          <w:color w:val="000000" w:themeColor="text1"/>
        </w:rPr>
        <w:t xml:space="preserve">Για την Δ.Ε. Ζαγοράς: </w:t>
      </w:r>
      <w:proofErr w:type="spellStart"/>
      <w:r w:rsidRPr="002F5D30">
        <w:rPr>
          <w:rFonts w:ascii="Calibri" w:eastAsia="Calibri" w:hAnsi="Calibri" w:cs="Calibri"/>
          <w:b/>
          <w:color w:val="000000" w:themeColor="text1"/>
        </w:rPr>
        <w:t>Τσικρικώνη</w:t>
      </w:r>
      <w:proofErr w:type="spellEnd"/>
      <w:r w:rsidRPr="002F5D30">
        <w:rPr>
          <w:rFonts w:ascii="Calibri" w:eastAsia="Calibri" w:hAnsi="Calibri" w:cs="Calibri"/>
          <w:b/>
          <w:color w:val="000000" w:themeColor="text1"/>
        </w:rPr>
        <w:t xml:space="preserve"> </w:t>
      </w:r>
      <w:proofErr w:type="spellStart"/>
      <w:r w:rsidRPr="002F5D30">
        <w:rPr>
          <w:rFonts w:ascii="Calibri" w:eastAsia="Calibri" w:hAnsi="Calibri" w:cs="Calibri"/>
          <w:b/>
          <w:color w:val="000000" w:themeColor="text1"/>
        </w:rPr>
        <w:t>Διαλλέτα</w:t>
      </w:r>
      <w:proofErr w:type="spellEnd"/>
      <w:r w:rsidRPr="002F5D30">
        <w:rPr>
          <w:rFonts w:ascii="Calibri" w:eastAsia="Calibri" w:hAnsi="Calibri" w:cs="Calibri"/>
          <w:b/>
          <w:color w:val="000000" w:themeColor="text1"/>
        </w:rPr>
        <w:t xml:space="preserve">, στο τηλέφωνο </w:t>
      </w:r>
      <w:r w:rsidRPr="002F5D30">
        <w:rPr>
          <w:rFonts w:ascii="Calibri" w:eastAsia="Calibri" w:hAnsi="Calibri" w:cs="Calibri"/>
          <w:b/>
          <w:color w:val="000000" w:themeColor="text1"/>
          <w:u w:val="single"/>
        </w:rPr>
        <w:t>2426350106</w:t>
      </w:r>
    </w:p>
    <w:p w:rsidR="004E3260" w:rsidRPr="002F5D30" w:rsidRDefault="004E3260" w:rsidP="002E1318">
      <w:pPr>
        <w:pStyle w:val="normal"/>
        <w:pBdr>
          <w:top w:val="nil"/>
          <w:left w:val="nil"/>
          <w:bottom w:val="nil"/>
          <w:right w:val="nil"/>
          <w:between w:val="nil"/>
        </w:pBdr>
        <w:shd w:val="clear" w:color="auto" w:fill="FFFFFF"/>
        <w:jc w:val="both"/>
        <w:rPr>
          <w:rFonts w:ascii="Calibri" w:eastAsia="Calibri" w:hAnsi="Calibri" w:cs="Calibri"/>
          <w:b/>
          <w:color w:val="000000" w:themeColor="text1"/>
          <w:u w:val="single"/>
        </w:rPr>
      </w:pPr>
      <w:r w:rsidRPr="002F5D30">
        <w:rPr>
          <w:rFonts w:ascii="Calibri" w:eastAsia="Calibri" w:hAnsi="Calibri" w:cs="Calibri"/>
          <w:b/>
          <w:color w:val="000000" w:themeColor="text1"/>
        </w:rPr>
        <w:t xml:space="preserve">Για την Δ.Ε. Μουρεσίου: </w:t>
      </w:r>
      <w:proofErr w:type="spellStart"/>
      <w:r w:rsidRPr="002F5D30">
        <w:rPr>
          <w:rFonts w:ascii="Calibri" w:eastAsia="Calibri" w:hAnsi="Calibri" w:cs="Calibri"/>
          <w:b/>
          <w:color w:val="000000" w:themeColor="text1"/>
        </w:rPr>
        <w:t>Μούτος</w:t>
      </w:r>
      <w:proofErr w:type="spellEnd"/>
      <w:r w:rsidRPr="002F5D30">
        <w:rPr>
          <w:rFonts w:ascii="Calibri" w:eastAsia="Calibri" w:hAnsi="Calibri" w:cs="Calibri"/>
          <w:b/>
          <w:color w:val="000000" w:themeColor="text1"/>
        </w:rPr>
        <w:t xml:space="preserve"> Κωνσταντίνος, στο τηλέφωνο </w:t>
      </w:r>
      <w:r w:rsidRPr="002F5D30">
        <w:rPr>
          <w:rFonts w:ascii="Calibri" w:eastAsia="Calibri" w:hAnsi="Calibri" w:cs="Calibri"/>
          <w:b/>
          <w:color w:val="000000" w:themeColor="text1"/>
          <w:u w:val="single"/>
        </w:rPr>
        <w:t>2426350219</w:t>
      </w:r>
    </w:p>
    <w:p w:rsidR="00154AE5" w:rsidRDefault="00154AE5">
      <w:pPr>
        <w:pStyle w:val="normal"/>
        <w:pBdr>
          <w:top w:val="nil"/>
          <w:left w:val="nil"/>
          <w:bottom w:val="nil"/>
          <w:right w:val="nil"/>
          <w:between w:val="nil"/>
        </w:pBdr>
        <w:shd w:val="clear" w:color="auto" w:fill="FFFFFF"/>
        <w:jc w:val="both"/>
        <w:rPr>
          <w:rFonts w:ascii="Calibri" w:eastAsia="Calibri" w:hAnsi="Calibri" w:cs="Calibri"/>
          <w:color w:val="000000" w:themeColor="text1"/>
        </w:rPr>
      </w:pPr>
    </w:p>
    <w:p w:rsidR="00154AE5" w:rsidRPr="00154AE5" w:rsidRDefault="00154AE5">
      <w:pPr>
        <w:pStyle w:val="normal"/>
        <w:pBdr>
          <w:top w:val="nil"/>
          <w:left w:val="nil"/>
          <w:bottom w:val="nil"/>
          <w:right w:val="nil"/>
          <w:between w:val="nil"/>
        </w:pBdr>
        <w:shd w:val="clear" w:color="auto" w:fill="FFFFFF"/>
        <w:jc w:val="both"/>
        <w:rPr>
          <w:rFonts w:ascii="Calibri" w:eastAsia="Calibri" w:hAnsi="Calibri" w:cs="Calibri"/>
          <w:color w:val="000000" w:themeColor="text1"/>
        </w:rPr>
      </w:pPr>
    </w:p>
    <w:p w:rsidR="00062EEC" w:rsidRPr="00154AE5" w:rsidRDefault="00062EEC">
      <w:pPr>
        <w:pStyle w:val="normal"/>
        <w:rPr>
          <w:color w:val="000000" w:themeColor="text1"/>
        </w:rPr>
      </w:pPr>
    </w:p>
    <w:p w:rsidR="00062EEC" w:rsidRPr="00154AE5" w:rsidRDefault="00DE4255">
      <w:pPr>
        <w:pStyle w:val="normal"/>
        <w:tabs>
          <w:tab w:val="left" w:pos="3221"/>
        </w:tabs>
        <w:jc w:val="center"/>
        <w:rPr>
          <w:color w:val="000000" w:themeColor="text1"/>
        </w:rPr>
      </w:pPr>
      <w:r w:rsidRPr="00154AE5">
        <w:rPr>
          <w:color w:val="000000" w:themeColor="text1"/>
        </w:rPr>
        <w:t>Ο ΔΗΜΑΡΧΟΣ</w:t>
      </w:r>
    </w:p>
    <w:p w:rsidR="00062EEC" w:rsidRPr="00154AE5" w:rsidRDefault="00DE4255">
      <w:pPr>
        <w:pStyle w:val="normal"/>
        <w:tabs>
          <w:tab w:val="left" w:pos="3221"/>
        </w:tabs>
        <w:jc w:val="center"/>
        <w:rPr>
          <w:color w:val="000000" w:themeColor="text1"/>
        </w:rPr>
      </w:pPr>
      <w:r w:rsidRPr="00154AE5">
        <w:rPr>
          <w:color w:val="000000" w:themeColor="text1"/>
        </w:rPr>
        <w:t>ΖΑΓΟΡΑΣ - ΜΟΥΡΕΣΙΟΥ</w:t>
      </w:r>
    </w:p>
    <w:p w:rsidR="00062EEC" w:rsidRPr="00154AE5" w:rsidRDefault="00062EEC">
      <w:pPr>
        <w:pStyle w:val="normal"/>
        <w:tabs>
          <w:tab w:val="left" w:pos="3221"/>
        </w:tabs>
        <w:jc w:val="center"/>
        <w:rPr>
          <w:color w:val="000000" w:themeColor="text1"/>
        </w:rPr>
      </w:pPr>
    </w:p>
    <w:p w:rsidR="00062EEC" w:rsidRPr="00154AE5" w:rsidRDefault="00062EEC">
      <w:pPr>
        <w:pStyle w:val="normal"/>
        <w:tabs>
          <w:tab w:val="left" w:pos="3221"/>
        </w:tabs>
        <w:jc w:val="center"/>
        <w:rPr>
          <w:color w:val="000000" w:themeColor="text1"/>
        </w:rPr>
      </w:pPr>
    </w:p>
    <w:p w:rsidR="00062EEC" w:rsidRPr="00154AE5" w:rsidRDefault="00DE4255">
      <w:pPr>
        <w:pStyle w:val="normal"/>
        <w:tabs>
          <w:tab w:val="left" w:pos="3221"/>
        </w:tabs>
        <w:jc w:val="center"/>
        <w:rPr>
          <w:color w:val="000000" w:themeColor="text1"/>
        </w:rPr>
      </w:pPr>
      <w:r w:rsidRPr="00154AE5">
        <w:rPr>
          <w:color w:val="000000" w:themeColor="text1"/>
        </w:rPr>
        <w:t>ΚΑΡΑΓΕΩΡΓΙΟΥ ΚΩΝΣΤΑΝΤΙΝΟΣ</w:t>
      </w:r>
    </w:p>
    <w:sectPr w:rsidR="00062EEC" w:rsidRPr="00154AE5" w:rsidSect="00062EEC">
      <w:pgSz w:w="11906" w:h="16838"/>
      <w:pgMar w:top="426" w:right="707" w:bottom="142" w:left="993"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EEC"/>
    <w:rsid w:val="00062EEC"/>
    <w:rsid w:val="00081A29"/>
    <w:rsid w:val="00154AE5"/>
    <w:rsid w:val="002E1318"/>
    <w:rsid w:val="002F5D30"/>
    <w:rsid w:val="004E3260"/>
    <w:rsid w:val="00597136"/>
    <w:rsid w:val="009E67B5"/>
    <w:rsid w:val="00BC3FDC"/>
    <w:rsid w:val="00DE4255"/>
    <w:rsid w:val="00E36C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36"/>
  </w:style>
  <w:style w:type="paragraph" w:styleId="1">
    <w:name w:val="heading 1"/>
    <w:basedOn w:val="normal"/>
    <w:next w:val="normal"/>
    <w:rsid w:val="00062EEC"/>
    <w:pPr>
      <w:keepNext/>
      <w:keepLines/>
      <w:spacing w:before="480" w:after="120"/>
      <w:outlineLvl w:val="0"/>
    </w:pPr>
    <w:rPr>
      <w:b/>
      <w:sz w:val="48"/>
      <w:szCs w:val="48"/>
    </w:rPr>
  </w:style>
  <w:style w:type="paragraph" w:styleId="2">
    <w:name w:val="heading 2"/>
    <w:basedOn w:val="normal"/>
    <w:next w:val="normal"/>
    <w:rsid w:val="00062EEC"/>
    <w:pPr>
      <w:keepNext/>
      <w:keepLines/>
      <w:spacing w:before="360" w:after="80"/>
      <w:outlineLvl w:val="1"/>
    </w:pPr>
    <w:rPr>
      <w:b/>
      <w:sz w:val="36"/>
      <w:szCs w:val="36"/>
    </w:rPr>
  </w:style>
  <w:style w:type="paragraph" w:styleId="3">
    <w:name w:val="heading 3"/>
    <w:basedOn w:val="normal"/>
    <w:next w:val="normal"/>
    <w:rsid w:val="00062EEC"/>
    <w:pPr>
      <w:keepNext/>
      <w:keepLines/>
      <w:spacing w:before="280" w:after="80"/>
      <w:outlineLvl w:val="2"/>
    </w:pPr>
    <w:rPr>
      <w:b/>
      <w:sz w:val="28"/>
      <w:szCs w:val="28"/>
    </w:rPr>
  </w:style>
  <w:style w:type="paragraph" w:styleId="4">
    <w:name w:val="heading 4"/>
    <w:basedOn w:val="normal"/>
    <w:next w:val="normal"/>
    <w:rsid w:val="00062EEC"/>
    <w:pPr>
      <w:keepNext/>
      <w:keepLines/>
      <w:spacing w:before="240" w:after="40"/>
      <w:outlineLvl w:val="3"/>
    </w:pPr>
    <w:rPr>
      <w:b/>
    </w:rPr>
  </w:style>
  <w:style w:type="paragraph" w:styleId="5">
    <w:name w:val="heading 5"/>
    <w:basedOn w:val="normal"/>
    <w:next w:val="normal"/>
    <w:rsid w:val="00062EEC"/>
    <w:pPr>
      <w:keepNext/>
      <w:keepLines/>
      <w:spacing w:before="220" w:after="40"/>
      <w:outlineLvl w:val="4"/>
    </w:pPr>
    <w:rPr>
      <w:b/>
      <w:sz w:val="22"/>
      <w:szCs w:val="22"/>
    </w:rPr>
  </w:style>
  <w:style w:type="paragraph" w:styleId="6">
    <w:name w:val="heading 6"/>
    <w:basedOn w:val="normal"/>
    <w:next w:val="normal"/>
    <w:rsid w:val="00062E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62EEC"/>
  </w:style>
  <w:style w:type="table" w:customStyle="1" w:styleId="TableNormal">
    <w:name w:val="Table Normal"/>
    <w:rsid w:val="00062EEC"/>
    <w:tblPr>
      <w:tblCellMar>
        <w:top w:w="0" w:type="dxa"/>
        <w:left w:w="0" w:type="dxa"/>
        <w:bottom w:w="0" w:type="dxa"/>
        <w:right w:w="0" w:type="dxa"/>
      </w:tblCellMar>
    </w:tblPr>
  </w:style>
  <w:style w:type="paragraph" w:styleId="a3">
    <w:name w:val="Title"/>
    <w:basedOn w:val="normal"/>
    <w:next w:val="normal"/>
    <w:rsid w:val="00062EEC"/>
    <w:pPr>
      <w:keepNext/>
      <w:keepLines/>
      <w:spacing w:before="480" w:after="120"/>
    </w:pPr>
    <w:rPr>
      <w:b/>
      <w:sz w:val="72"/>
      <w:szCs w:val="72"/>
    </w:rPr>
  </w:style>
  <w:style w:type="paragraph" w:styleId="a4">
    <w:name w:val="Subtitle"/>
    <w:basedOn w:val="normal"/>
    <w:next w:val="normal"/>
    <w:rsid w:val="00062EE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3624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 Καραγεωργιου</dc:creator>
  <cp:lastModifiedBy>GERMANI</cp:lastModifiedBy>
  <cp:revision>4</cp:revision>
  <dcterms:created xsi:type="dcterms:W3CDTF">2024-11-03T09:37:00Z</dcterms:created>
  <dcterms:modified xsi:type="dcterms:W3CDTF">2024-11-04T09:29:00Z</dcterms:modified>
</cp:coreProperties>
</file>